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5A50" w14:textId="3839652C" w:rsidR="00261322" w:rsidRDefault="000E6FAF" w:rsidP="00261322">
      <w:pPr>
        <w:contextualSpacing/>
        <w:rPr>
          <w:b/>
          <w:bCs/>
        </w:rPr>
      </w:pPr>
      <w:r>
        <w:rPr>
          <w:b/>
          <w:bCs/>
        </w:rPr>
        <w:t>2024 Talking Points for CDFI Advocacy</w:t>
      </w:r>
    </w:p>
    <w:p w14:paraId="559E580F" w14:textId="77777777" w:rsidR="00AF3AE3" w:rsidRDefault="00AF3AE3" w:rsidP="00261322">
      <w:pPr>
        <w:contextualSpacing/>
        <w:rPr>
          <w:b/>
          <w:bCs/>
        </w:rPr>
      </w:pPr>
    </w:p>
    <w:p w14:paraId="48D9673A" w14:textId="7E435E88" w:rsidR="00261322" w:rsidRDefault="00261322" w:rsidP="00261322">
      <w:pPr>
        <w:rPr>
          <w:b/>
          <w:bCs/>
        </w:rPr>
      </w:pPr>
      <w:r>
        <w:rPr>
          <w:b/>
          <w:bCs/>
        </w:rPr>
        <w:t>CDFI Introduction</w:t>
      </w:r>
    </w:p>
    <w:p w14:paraId="69398174" w14:textId="16489733" w:rsidR="00261322" w:rsidRDefault="00261322" w:rsidP="00AF3AE3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</w:pPr>
      <w:r w:rsidRPr="00261322">
        <w:t xml:space="preserve">Good </w:t>
      </w:r>
      <w:r w:rsidRPr="00D37F61">
        <w:rPr>
          <w:shd w:val="clear" w:color="auto" w:fill="FFFF00"/>
        </w:rPr>
        <w:t>[</w:t>
      </w:r>
      <w:r w:rsidR="00D37F61" w:rsidRPr="00D37F61">
        <w:rPr>
          <w:shd w:val="clear" w:color="auto" w:fill="FFFF00"/>
        </w:rPr>
        <w:t>MORNING, AFTERNOON</w:t>
      </w:r>
      <w:r w:rsidRPr="00D37F61">
        <w:rPr>
          <w:shd w:val="clear" w:color="auto" w:fill="FFFF00"/>
        </w:rPr>
        <w:t>]</w:t>
      </w:r>
      <w:r w:rsidRPr="00261322">
        <w:t>.</w:t>
      </w:r>
      <w:r>
        <w:t xml:space="preserve"> My name is</w:t>
      </w:r>
      <w:r w:rsidR="00064D2D">
        <w:t xml:space="preserve"> </w:t>
      </w:r>
      <w:r w:rsidR="00064D2D" w:rsidRPr="00D37F61">
        <w:rPr>
          <w:shd w:val="clear" w:color="auto" w:fill="FFFF00"/>
        </w:rPr>
        <w:t xml:space="preserve">[NAME] </w:t>
      </w:r>
      <w:r w:rsidR="00064D2D">
        <w:t xml:space="preserve">and I serve as </w:t>
      </w:r>
      <w:r w:rsidR="00064D2D" w:rsidRPr="00D37F61">
        <w:rPr>
          <w:shd w:val="clear" w:color="auto" w:fill="FFFF00"/>
        </w:rPr>
        <w:t>[TITLE]</w:t>
      </w:r>
      <w:r w:rsidR="00064D2D">
        <w:t xml:space="preserve"> of </w:t>
      </w:r>
      <w:r w:rsidR="00064D2D" w:rsidRPr="00D37F61">
        <w:rPr>
          <w:shd w:val="clear" w:color="auto" w:fill="FFFF00"/>
        </w:rPr>
        <w:t xml:space="preserve">[CDFI NAME], </w:t>
      </w:r>
      <w:r w:rsidR="00064D2D">
        <w:t>a CDFI</w:t>
      </w:r>
      <w:r w:rsidR="00CB40D4">
        <w:t xml:space="preserve"> credit union</w:t>
      </w:r>
      <w:r w:rsidR="00064D2D">
        <w:t xml:space="preserve"> located in and serving </w:t>
      </w:r>
      <w:r w:rsidR="00064D2D" w:rsidRPr="00D37F61">
        <w:rPr>
          <w:shd w:val="clear" w:color="auto" w:fill="FFFF00"/>
        </w:rPr>
        <w:t>[IDENTIFY AND DESCRIBE COMMUNITIES SERVED, INCLUDING STATE</w:t>
      </w:r>
      <w:r w:rsidR="00D37F61">
        <w:rPr>
          <w:shd w:val="clear" w:color="auto" w:fill="FFFF00"/>
        </w:rPr>
        <w:t xml:space="preserve"> NAME</w:t>
      </w:r>
      <w:r w:rsidR="00064D2D" w:rsidRPr="00D37F61">
        <w:rPr>
          <w:shd w:val="clear" w:color="auto" w:fill="FFFF00"/>
        </w:rPr>
        <w:t>, RURAL/SMALL TOWN/URBAN OR OTHER]</w:t>
      </w:r>
      <w:r w:rsidR="00064D2D">
        <w:t>.</w:t>
      </w:r>
    </w:p>
    <w:p w14:paraId="3CEE1676" w14:textId="77777777" w:rsidR="00F852C0" w:rsidRDefault="00F852C0" w:rsidP="00F852C0">
      <w:pPr>
        <w:pStyle w:val="NoSpacing"/>
      </w:pPr>
    </w:p>
    <w:p w14:paraId="692761C8" w14:textId="52A4948C" w:rsidR="00261322" w:rsidRPr="00637D03" w:rsidRDefault="000F4CEA" w:rsidP="00261322">
      <w:r>
        <w:rPr>
          <w:b/>
          <w:bCs/>
        </w:rPr>
        <w:t>Preserve &amp; M</w:t>
      </w:r>
      <w:r w:rsidRPr="000F4CEA">
        <w:rPr>
          <w:b/>
          <w:bCs/>
        </w:rPr>
        <w:t xml:space="preserve">aintain </w:t>
      </w:r>
      <w:r>
        <w:rPr>
          <w:b/>
          <w:bCs/>
        </w:rPr>
        <w:t>Funding L</w:t>
      </w:r>
      <w:r w:rsidRPr="000F4CEA">
        <w:rPr>
          <w:b/>
          <w:bCs/>
        </w:rPr>
        <w:t>evels for the CDFI Fund</w:t>
      </w:r>
    </w:p>
    <w:p w14:paraId="39A60AF0" w14:textId="72715B8E" w:rsidR="00A158C4" w:rsidRDefault="00261322" w:rsidP="00076049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I strongly urge you to continue </w:t>
      </w:r>
      <w:r w:rsidRPr="008075B5">
        <w:rPr>
          <w:u w:val="single"/>
        </w:rPr>
        <w:t xml:space="preserve">bipartisan </w:t>
      </w:r>
      <w:r>
        <w:t>support of the US Department of the Treasury’s Community Development Fin</w:t>
      </w:r>
      <w:r w:rsidR="00A158C4">
        <w:t xml:space="preserve">ancial Institutions (CDFI) Fund in the FY 2025 </w:t>
      </w:r>
      <w:r w:rsidR="00A158C4" w:rsidRPr="00261322">
        <w:t>Financial Services and General Government (FSGG) bill</w:t>
      </w:r>
      <w:r w:rsidR="008075B5">
        <w:t>.</w:t>
      </w:r>
    </w:p>
    <w:p w14:paraId="2274E93F" w14:textId="24523E0D" w:rsidR="008075B5" w:rsidRDefault="00A158C4" w:rsidP="006563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I </w:t>
      </w:r>
      <w:r w:rsidR="008075B5">
        <w:t>strong</w:t>
      </w:r>
      <w:r w:rsidR="000E6FAF">
        <w:t>ly</w:t>
      </w:r>
      <w:r w:rsidR="008075B5">
        <w:t xml:space="preserve"> urge you to:</w:t>
      </w:r>
    </w:p>
    <w:p w14:paraId="5324A9F2" w14:textId="6626A218" w:rsidR="008075B5" w:rsidRDefault="008075B5" w:rsidP="008075B5">
      <w:pPr>
        <w:numPr>
          <w:ilvl w:val="1"/>
          <w:numId w:val="1"/>
        </w:numPr>
      </w:pPr>
      <w:r>
        <w:t>S</w:t>
      </w:r>
      <w:r w:rsidR="00A158C4">
        <w:t>upport funding at the $354 mill</w:t>
      </w:r>
      <w:r>
        <w:t xml:space="preserve">ion proposed in the </w:t>
      </w:r>
      <w:r w:rsidR="00AF5129">
        <w:t>FY</w:t>
      </w:r>
      <w:r w:rsidR="002A6A7C">
        <w:t xml:space="preserve"> </w:t>
      </w:r>
      <w:r w:rsidR="00AF5129">
        <w:t>2</w:t>
      </w:r>
      <w:r w:rsidR="002A6A7C">
        <w:t>02</w:t>
      </w:r>
      <w:r w:rsidR="00AF5129">
        <w:t xml:space="preserve">5 </w:t>
      </w:r>
      <w:r>
        <w:t>Senate bill</w:t>
      </w:r>
    </w:p>
    <w:p w14:paraId="0E7D12F7" w14:textId="31EAA96E" w:rsidR="00A158C4" w:rsidRDefault="008075B5" w:rsidP="008075B5">
      <w:pPr>
        <w:numPr>
          <w:ilvl w:val="1"/>
          <w:numId w:val="1"/>
        </w:numPr>
      </w:pPr>
      <w:r>
        <w:t>O</w:t>
      </w:r>
      <w:r w:rsidR="00A158C4">
        <w:t xml:space="preserve">ppose </w:t>
      </w:r>
      <w:r>
        <w:t>any efforts to cut the CDFI Fund below its current $324 million FY 2024 levels.</w:t>
      </w:r>
    </w:p>
    <w:p w14:paraId="5865929B" w14:textId="70AA14A3" w:rsidR="00AF3AE3" w:rsidRDefault="00CC42AC" w:rsidP="00AF3AE3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</w:pPr>
      <w:r>
        <w:t xml:space="preserve">I </w:t>
      </w:r>
      <w:r w:rsidR="008E660E">
        <w:t xml:space="preserve">also </w:t>
      </w:r>
      <w:r>
        <w:t xml:space="preserve">strongly urge you to PRESERVE the CDFI Fund and oppose any efforts to cut </w:t>
      </w:r>
      <w:r w:rsidR="004875D8">
        <w:t xml:space="preserve">funding </w:t>
      </w:r>
      <w:r>
        <w:t>below current levels</w:t>
      </w:r>
      <w:r w:rsidR="008E660E">
        <w:t xml:space="preserve"> in the FY 2026 budget</w:t>
      </w:r>
      <w:r>
        <w:t>.</w:t>
      </w:r>
    </w:p>
    <w:p w14:paraId="744BB46B" w14:textId="77777777" w:rsidR="00AF3AE3" w:rsidRDefault="00AF3AE3" w:rsidP="00AF3AE3">
      <w:pPr>
        <w:spacing w:after="0"/>
        <w:ind w:left="360"/>
        <w:contextualSpacing/>
      </w:pPr>
    </w:p>
    <w:p w14:paraId="027AC7E0" w14:textId="1CF404B7" w:rsidR="00B85F0C" w:rsidRPr="00AF3AE3" w:rsidRDefault="00B85F0C" w:rsidP="00AF3AE3">
      <w:r w:rsidRPr="00AF3AE3">
        <w:rPr>
          <w:b/>
        </w:rPr>
        <w:t>CDFIs are a Proven Market-Based Solution</w:t>
      </w:r>
    </w:p>
    <w:p w14:paraId="681553B5" w14:textId="4E9A41A5" w:rsidR="00B85F0C" w:rsidRDefault="004875D8" w:rsidP="00EB487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CDFIs are v</w:t>
      </w:r>
      <w:r w:rsidR="00964AD3">
        <w:t xml:space="preserve">itally </w:t>
      </w:r>
      <w:r>
        <w:t>important in</w:t>
      </w:r>
      <w:r w:rsidR="008075B5">
        <w:t xml:space="preserve"> promoting </w:t>
      </w:r>
      <w:r w:rsidR="00A158C4" w:rsidRPr="00261322">
        <w:t>job cr</w:t>
      </w:r>
      <w:r w:rsidR="008E660E">
        <w:t>eation and economic opportunity across the nation</w:t>
      </w:r>
      <w:r w:rsidR="000E6FAF">
        <w:t xml:space="preserve"> -</w:t>
      </w:r>
      <w:r w:rsidR="008E660E">
        <w:t xml:space="preserve"> from disinvested urban neighborhoods to struggling rural communities to underserved Native</w:t>
      </w:r>
      <w:r w:rsidR="00B85F0C">
        <w:t xml:space="preserve"> American</w:t>
      </w:r>
      <w:r w:rsidR="0435743D">
        <w:t xml:space="preserve"> communities</w:t>
      </w:r>
      <w:r w:rsidR="00B85F0C">
        <w:t>. But they cannot do their job without the CDFI Fund.</w:t>
      </w:r>
    </w:p>
    <w:p w14:paraId="1E9845B9" w14:textId="7BF48C31" w:rsidR="00637D03" w:rsidRPr="00637D03" w:rsidRDefault="00B85F0C" w:rsidP="00EB487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For the past 30 years, CDFIs have </w:t>
      </w:r>
      <w:r w:rsidRPr="004875D8">
        <w:rPr>
          <w:u w:val="single"/>
        </w:rPr>
        <w:t>earned</w:t>
      </w:r>
      <w:r>
        <w:t xml:space="preserve"> bipartisan support because they </w:t>
      </w:r>
      <w:r w:rsidR="000E6FAF">
        <w:t xml:space="preserve">have </w:t>
      </w:r>
      <w:r>
        <w:t xml:space="preserve">proven themselves as </w:t>
      </w:r>
      <w:r w:rsidR="00637D03" w:rsidRPr="00637D03">
        <w:t>one of the federal government</w:t>
      </w:r>
      <w:r>
        <w:t xml:space="preserve">’s best market-based strategies. They use a small amount of </w:t>
      </w:r>
      <w:r w:rsidR="00637D03" w:rsidRPr="00637D03">
        <w:t xml:space="preserve">public </w:t>
      </w:r>
      <w:r>
        <w:t>dollars to leverage a multitude of private monies</w:t>
      </w:r>
      <w:r w:rsidR="00637D03" w:rsidRPr="00637D03">
        <w:t xml:space="preserve"> to restore and promote economic vitality and self-sufficiency in distressed, low-income, and persistent poverty communities.  </w:t>
      </w:r>
    </w:p>
    <w:p w14:paraId="52B78D44" w14:textId="0A0D01CC" w:rsidR="00637D03" w:rsidRPr="00637D03" w:rsidRDefault="00637D03" w:rsidP="007548D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637D03">
        <w:t xml:space="preserve">The Fund was established as a bipartisan initiative to promote access to capital and local economic growth in communities with unmet needs across the country. Since 1994, </w:t>
      </w:r>
      <w:r w:rsidR="00F852C0">
        <w:t>CDFIs have</w:t>
      </w:r>
      <w:r w:rsidR="00AE7426">
        <w:t xml:space="preserve"> </w:t>
      </w:r>
      <w:r w:rsidRPr="00637D03">
        <w:t>leveraged</w:t>
      </w:r>
      <w:r w:rsidR="00AE7426">
        <w:t xml:space="preserve"> </w:t>
      </w:r>
      <w:r w:rsidRPr="00637D03">
        <w:t xml:space="preserve">at least </w:t>
      </w:r>
      <w:hyperlink r:id="rId7" w:tgtFrame="_blank" w:history="1">
        <w:r w:rsidRPr="00637D03">
          <w:rPr>
            <w:rStyle w:val="Hyperlink"/>
          </w:rPr>
          <w:t>$8</w:t>
        </w:r>
      </w:hyperlink>
      <w:r w:rsidRPr="00637D03">
        <w:t xml:space="preserve"> in private sector investment </w:t>
      </w:r>
      <w:r w:rsidR="00AE7426">
        <w:t>for every $1 in public funding received.</w:t>
      </w:r>
    </w:p>
    <w:p w14:paraId="0977778A" w14:textId="38519837" w:rsidR="00637D03" w:rsidRDefault="00637D03" w:rsidP="00AF3AE3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contextualSpacing/>
      </w:pPr>
      <w:r w:rsidRPr="00637D03">
        <w:lastRenderedPageBreak/>
        <w:t>CDFIs are financial intermediaries that</w:t>
      </w:r>
      <w:r w:rsidRPr="00637D03">
        <w:rPr>
          <w:b/>
          <w:bCs/>
        </w:rPr>
        <w:t xml:space="preserve"> </w:t>
      </w:r>
      <w:r w:rsidRPr="00637D03">
        <w:t xml:space="preserve">measure success by focusing on the “double bottom line” of financial performance and promoting job creation, affordable housing, and economic opportunity. </w:t>
      </w:r>
      <w:r w:rsidR="007548D7">
        <w:t>CDFIs</w:t>
      </w:r>
      <w:r w:rsidRPr="00637D03">
        <w:t xml:space="preserve"> direct at least 60% of their lending toward economically distressed people and communities. By providing a “hand up” rather than a handout, they advance financial independence and combat poverty in areas that big banks overlook.  </w:t>
      </w:r>
    </w:p>
    <w:p w14:paraId="3FF37AAD" w14:textId="77777777" w:rsidR="001E1752" w:rsidRPr="00261322" w:rsidRDefault="001E1752" w:rsidP="00AF3AE3">
      <w:pPr>
        <w:pStyle w:val="NoSpacing"/>
        <w:contextualSpacing/>
      </w:pPr>
    </w:p>
    <w:p w14:paraId="47319232" w14:textId="43C38C8B" w:rsidR="00637D03" w:rsidRPr="00637D03" w:rsidRDefault="00637D03" w:rsidP="00637D03">
      <w:r w:rsidRPr="00637D03">
        <w:rPr>
          <w:b/>
          <w:bCs/>
        </w:rPr>
        <w:t>CDFIs Invest in Community Needs</w:t>
      </w:r>
      <w:r w:rsidRPr="00637D03">
        <w:t> </w:t>
      </w:r>
    </w:p>
    <w:p w14:paraId="53C25052" w14:textId="3D444A59" w:rsidR="00637D03" w:rsidRPr="00637D03" w:rsidRDefault="00637D03" w:rsidP="007548D7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37D03">
        <w:t xml:space="preserve">In </w:t>
      </w:r>
      <w:hyperlink r:id="rId8" w:tgtFrame="_blank" w:history="1">
        <w:r w:rsidRPr="006A3415">
          <w:t>FY 2023</w:t>
        </w:r>
      </w:hyperlink>
      <w:r w:rsidRPr="00637D03">
        <w:t>, the CDFI Program (the CDFI Fund’s “flagship” program) awardees alone made more than 2 million loans or investments totaling more than $57 billion. This financing included $20.2 billion for consumer loans, $14.1 billion for home improvement and purchase loans, $9.8 billion for business and microenterprise loans, and $5.8 billion for residential real estate transactions.</w:t>
      </w:r>
      <w:r w:rsidR="007548D7">
        <w:t xml:space="preserve"> </w:t>
      </w:r>
      <w:r w:rsidRPr="00637D03">
        <w:t>CDFIs also financed nearly 77,000 affordable housing units. </w:t>
      </w:r>
    </w:p>
    <w:p w14:paraId="638C611C" w14:textId="7C778721" w:rsidR="00261322" w:rsidRPr="00AF3AE3" w:rsidRDefault="00680C5A" w:rsidP="00AF3AE3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AF3AE3">
        <w:rPr>
          <w:highlight w:val="yellow"/>
        </w:rPr>
        <w:t>PLEASE SHARE AN</w:t>
      </w:r>
      <w:r w:rsidR="00261322" w:rsidRPr="00AF3AE3">
        <w:rPr>
          <w:highlight w:val="yellow"/>
        </w:rPr>
        <w:t xml:space="preserve"> IMPACT STOR</w:t>
      </w:r>
      <w:r w:rsidRPr="00AF3AE3">
        <w:rPr>
          <w:highlight w:val="yellow"/>
        </w:rPr>
        <w:t>Y</w:t>
      </w:r>
      <w:r w:rsidR="00261322" w:rsidRPr="00AF3AE3">
        <w:rPr>
          <w:highlight w:val="yellow"/>
        </w:rPr>
        <w:t xml:space="preserve"> FROM YOUR INDIVIDUAL CDFI</w:t>
      </w:r>
      <w:r w:rsidR="00261322" w:rsidRPr="00AF3AE3">
        <w:t xml:space="preserve"> </w:t>
      </w:r>
    </w:p>
    <w:p w14:paraId="7500CDB1" w14:textId="77777777" w:rsidR="007548D7" w:rsidRDefault="007548D7" w:rsidP="001E1752">
      <w:pPr>
        <w:pStyle w:val="NoSpacing"/>
      </w:pPr>
    </w:p>
    <w:p w14:paraId="73CE2D6E" w14:textId="0E5927F8" w:rsidR="00637D03" w:rsidRPr="00637D03" w:rsidRDefault="00637D03" w:rsidP="00637D03">
      <w:r w:rsidRPr="00637D03">
        <w:rPr>
          <w:b/>
          <w:bCs/>
        </w:rPr>
        <w:t>CDFIs Attract Broad-Based Support</w:t>
      </w:r>
    </w:p>
    <w:p w14:paraId="3FECA4CD" w14:textId="77777777" w:rsidR="007326BF" w:rsidRPr="00637D03" w:rsidRDefault="007326BF" w:rsidP="007326BF">
      <w:pPr>
        <w:numPr>
          <w:ilvl w:val="0"/>
          <w:numId w:val="8"/>
        </w:numPr>
      </w:pPr>
      <w:r w:rsidRPr="00637D03">
        <w:t>CDFIs received praise from both parties for their historic role in revitalizing local economies impacted by the COVID-19 pandemic.  </w:t>
      </w:r>
    </w:p>
    <w:p w14:paraId="747B1DD8" w14:textId="77777777" w:rsidR="007326BF" w:rsidRPr="00637D03" w:rsidRDefault="007326BF" w:rsidP="007326BF">
      <w:pPr>
        <w:numPr>
          <w:ilvl w:val="0"/>
          <w:numId w:val="8"/>
        </w:numPr>
      </w:pPr>
      <w:r w:rsidRPr="00637D03">
        <w:t xml:space="preserve">The strong performance of regulated CDFIs in the first round of the Paycheck Protection Program (PPP) was instrumental in the program’s expansion, </w:t>
      </w:r>
      <w:r>
        <w:t xml:space="preserve">ensuring small businesses continued operating and kept </w:t>
      </w:r>
      <w:r w:rsidRPr="00637D03">
        <w:t>Americans employed during the pandemic.  </w:t>
      </w:r>
    </w:p>
    <w:p w14:paraId="74690856" w14:textId="674A6ADA" w:rsidR="000F4CEA" w:rsidRDefault="000F4CEA" w:rsidP="000F4CEA">
      <w:pPr>
        <w:numPr>
          <w:ilvl w:val="0"/>
          <w:numId w:val="8"/>
        </w:numPr>
      </w:pPr>
      <w:r>
        <w:t xml:space="preserve">In </w:t>
      </w:r>
      <w:r w:rsidR="00AE7426">
        <w:t xml:space="preserve">2020, </w:t>
      </w:r>
      <w:r w:rsidR="11E9C0E8">
        <w:t xml:space="preserve">the </w:t>
      </w:r>
      <w:r>
        <w:t>Trump</w:t>
      </w:r>
      <w:r w:rsidRPr="00637D03">
        <w:t xml:space="preserve"> administration worked with Congress to include an unprecedented $12 billion of funding for CDFIs in the Consolidated Appropriations Act of 2021. This included $9 billion in long-term capital for depository CDFIs and Minority Depository Institutions (MDIs) through the Emergency Capital Investment Program (ECIP), which unlocked access to capital for the hardest-to-serve small businesses and provided mortgages to underserved homebuyers. </w:t>
      </w:r>
      <w:r>
        <w:t xml:space="preserve">ECIP participants made more than </w:t>
      </w:r>
      <w:hyperlink r:id="rId9">
        <w:r>
          <w:t>$58.3 billion</w:t>
        </w:r>
      </w:hyperlink>
      <w:r w:rsidRPr="00637D03">
        <w:t xml:space="preserve"> in loans over 18 months, including $10.3 billion in rural communities and $10.2 billion in persistent poverty communities. </w:t>
      </w:r>
    </w:p>
    <w:p w14:paraId="08D3460B" w14:textId="40EFC5AD" w:rsidR="00637D03" w:rsidRPr="00637D03" w:rsidRDefault="00680C5A" w:rsidP="00637D03">
      <w:pPr>
        <w:numPr>
          <w:ilvl w:val="0"/>
          <w:numId w:val="8"/>
        </w:numPr>
      </w:pPr>
      <w:r w:rsidRPr="00F852C0">
        <w:rPr>
          <w:shd w:val="clear" w:color="auto" w:fill="FFFF00"/>
        </w:rPr>
        <w:t>[</w:t>
      </w:r>
      <w:r>
        <w:rPr>
          <w:shd w:val="clear" w:color="auto" w:fill="FFFF00"/>
        </w:rPr>
        <w:t xml:space="preserve">PLEASE NOTE: THIS BULLET </w:t>
      </w:r>
      <w:r w:rsidRPr="00F852C0">
        <w:rPr>
          <w:shd w:val="clear" w:color="auto" w:fill="FFFF00"/>
        </w:rPr>
        <w:t xml:space="preserve">FOR CONVERSATIONS WITH SENATE </w:t>
      </w:r>
      <w:r w:rsidR="6F28FADB" w:rsidRPr="00F852C0">
        <w:rPr>
          <w:shd w:val="clear" w:color="auto" w:fill="FFFF00"/>
        </w:rPr>
        <w:t xml:space="preserve">MEMBERS WHO ARE NOT MEMBERS OF THE COMMUNITY DEVELOPMENT FINANCE CAUCUS </w:t>
      </w:r>
      <w:r w:rsidRPr="00F852C0">
        <w:rPr>
          <w:shd w:val="clear" w:color="auto" w:fill="FFFF00"/>
        </w:rPr>
        <w:t>ONLY</w:t>
      </w:r>
      <w:r>
        <w:rPr>
          <w:shd w:val="clear" w:color="auto" w:fill="FFFF00"/>
        </w:rPr>
        <w:t xml:space="preserve"> – HOUSE MEMBERS NOT INTERESTED IN SENATE</w:t>
      </w:r>
      <w:r w:rsidRPr="00F852C0">
        <w:rPr>
          <w:shd w:val="clear" w:color="auto" w:fill="FFFF00"/>
        </w:rPr>
        <w:t>]</w:t>
      </w:r>
      <w:r w:rsidR="00CB40D4">
        <w:t xml:space="preserve"> T</w:t>
      </w:r>
      <w:r w:rsidR="00637D03" w:rsidRPr="00637D03">
        <w:t xml:space="preserve">he CDFI Fund aligns squarely with conservative priorities. In the Senate, 13 Republicans from largely rural states are active members of the Senate CDFI Caucus, including both Republican Senators from </w:t>
      </w:r>
      <w:r w:rsidR="00637D03" w:rsidRPr="00637D03">
        <w:lastRenderedPageBreak/>
        <w:t>Mississippi, Louisiana and Arkansas, as well as Senators representing plains states (Mike Rounds – SD, and Jerry Moran-KS) and the Mountain West, (Steve Daines – MT, Cynthia Lummis – WY). </w:t>
      </w:r>
      <w:r w:rsidR="000F4CEA" w:rsidRPr="00637D03">
        <w:t> </w:t>
      </w:r>
    </w:p>
    <w:p w14:paraId="2C32DC61" w14:textId="77777777" w:rsidR="00637D03" w:rsidRPr="00637D03" w:rsidRDefault="00637D03" w:rsidP="001E1752">
      <w:pPr>
        <w:pStyle w:val="NoSpacing"/>
      </w:pPr>
      <w:r w:rsidRPr="00637D03">
        <w:t> </w:t>
      </w:r>
    </w:p>
    <w:p w14:paraId="363D3A8C" w14:textId="0040159F" w:rsidR="00637D03" w:rsidRDefault="00637D03" w:rsidP="00637D03">
      <w:pPr>
        <w:rPr>
          <w:b/>
          <w:bCs/>
        </w:rPr>
      </w:pPr>
      <w:r w:rsidRPr="00637D03">
        <w:rPr>
          <w:b/>
          <w:bCs/>
        </w:rPr>
        <w:t xml:space="preserve">CDFIs are critical to </w:t>
      </w:r>
      <w:r w:rsidRPr="00B06D82">
        <w:rPr>
          <w:b/>
          <w:bCs/>
          <w:highlight w:val="yellow"/>
        </w:rPr>
        <w:t>[STATE]</w:t>
      </w:r>
      <w:r w:rsidRPr="00637D03">
        <w:rPr>
          <w:b/>
          <w:bCs/>
        </w:rPr>
        <w:t xml:space="preserve"> </w:t>
      </w:r>
      <w:r w:rsidR="00CB40D4">
        <w:rPr>
          <w:b/>
          <w:bCs/>
        </w:rPr>
        <w:t>economy</w:t>
      </w:r>
    </w:p>
    <w:p w14:paraId="06D6433C" w14:textId="3546DA48" w:rsidR="00FD5235" w:rsidRPr="00165324" w:rsidRDefault="00165324" w:rsidP="00637D03">
      <w:r w:rsidRPr="00776E15">
        <w:rPr>
          <w:highlight w:val="yellow"/>
        </w:rPr>
        <w:t>PLEASE</w:t>
      </w:r>
      <w:r w:rsidR="000C5AF2">
        <w:rPr>
          <w:highlight w:val="yellow"/>
        </w:rPr>
        <w:t xml:space="preserve"> FIND </w:t>
      </w:r>
      <w:r w:rsidRPr="00776E15">
        <w:rPr>
          <w:highlight w:val="yellow"/>
        </w:rPr>
        <w:t xml:space="preserve">THE CDFI CREDIT UNION STATE PROFILE FOR YOUR STATE </w:t>
      </w:r>
      <w:hyperlink r:id="rId10" w:history="1">
        <w:r w:rsidR="00E4512C" w:rsidRPr="000C5AF2">
          <w:rPr>
            <w:rStyle w:val="Hyperlink"/>
            <w:highlight w:val="yellow"/>
          </w:rPr>
          <w:t>HERE</w:t>
        </w:r>
      </w:hyperlink>
      <w:r w:rsidR="00E4512C" w:rsidRPr="00776E15">
        <w:rPr>
          <w:highlight w:val="yellow"/>
        </w:rPr>
        <w:t xml:space="preserve"> TO FILL IN THE APPROPRIATE FIGURES</w:t>
      </w:r>
      <w:r w:rsidR="00776E15" w:rsidRPr="00776E15">
        <w:rPr>
          <w:highlight w:val="yellow"/>
        </w:rPr>
        <w:t xml:space="preserve"> BELOW</w:t>
      </w:r>
    </w:p>
    <w:p w14:paraId="65FBE75F" w14:textId="5C66036E" w:rsidR="00637D03" w:rsidRPr="00F852C0" w:rsidRDefault="00637D03" w:rsidP="00637D03">
      <w:r w:rsidRPr="00637D03">
        <w:t>As of Q</w:t>
      </w:r>
      <w:r w:rsidR="00E72D5D">
        <w:t>1</w:t>
      </w:r>
      <w:r w:rsidRPr="00637D03">
        <w:t xml:space="preserve"> </w:t>
      </w:r>
      <w:r w:rsidRPr="00F852C0">
        <w:t>2024</w:t>
      </w:r>
      <w:r w:rsidR="00B64686">
        <w:t>,</w:t>
      </w:r>
      <w:r w:rsidRPr="00F852C0">
        <w:t xml:space="preserve"> </w:t>
      </w:r>
      <w:r w:rsidRPr="00B06D82">
        <w:rPr>
          <w:highlight w:val="yellow"/>
          <w:shd w:val="clear" w:color="auto" w:fill="00B050"/>
        </w:rPr>
        <w:t>[STATE]</w:t>
      </w:r>
      <w:r w:rsidRPr="00F852C0">
        <w:t xml:space="preserve"> </w:t>
      </w:r>
      <w:r w:rsidRPr="00637D03">
        <w:t xml:space="preserve">is </w:t>
      </w:r>
      <w:r w:rsidRPr="00F852C0">
        <w:t xml:space="preserve">home to </w:t>
      </w:r>
      <w:r w:rsidRPr="00CB40D4">
        <w:rPr>
          <w:highlight w:val="yellow"/>
          <w:shd w:val="clear" w:color="auto" w:fill="00B050"/>
        </w:rPr>
        <w:t>[XX]</w:t>
      </w:r>
      <w:r w:rsidR="00CB40D4">
        <w:t xml:space="preserve"> </w:t>
      </w:r>
      <w:r w:rsidR="00972DCA">
        <w:t>CDFI credit unions</w:t>
      </w:r>
      <w:r w:rsidRPr="00F852C0">
        <w:t>. </w:t>
      </w:r>
      <w:r w:rsidR="00780C23">
        <w:t xml:space="preserve">They </w:t>
      </w:r>
      <w:r w:rsidR="00801695">
        <w:t xml:space="preserve">serve </w:t>
      </w:r>
      <w:r w:rsidR="00801695" w:rsidRPr="00B64686">
        <w:rPr>
          <w:highlight w:val="yellow"/>
        </w:rPr>
        <w:t>[XX]</w:t>
      </w:r>
      <w:r w:rsidR="00801695">
        <w:t xml:space="preserve"> members </w:t>
      </w:r>
      <w:r w:rsidR="00F602AB">
        <w:t xml:space="preserve">at </w:t>
      </w:r>
      <w:r w:rsidR="00F602AB" w:rsidRPr="00F602AB">
        <w:rPr>
          <w:highlight w:val="yellow"/>
        </w:rPr>
        <w:t>[XX]</w:t>
      </w:r>
      <w:r w:rsidR="00F602AB">
        <w:t xml:space="preserve"> branch locations </w:t>
      </w:r>
      <w:r w:rsidR="00D93F05">
        <w:t>and achieve impact th</w:t>
      </w:r>
      <w:r w:rsidR="009F5DE0">
        <w:t xml:space="preserve">rough </w:t>
      </w:r>
      <w:r w:rsidR="009F5DE0" w:rsidRPr="00B64686">
        <w:rPr>
          <w:highlight w:val="yellow"/>
        </w:rPr>
        <w:t>[</w:t>
      </w:r>
      <w:r w:rsidR="00B64686">
        <w:rPr>
          <w:highlight w:val="yellow"/>
        </w:rPr>
        <w:t>$</w:t>
      </w:r>
      <w:r w:rsidR="009F5DE0" w:rsidRPr="00B64686">
        <w:rPr>
          <w:highlight w:val="yellow"/>
        </w:rPr>
        <w:t>XX]</w:t>
      </w:r>
      <w:r w:rsidR="009F5DE0">
        <w:t xml:space="preserve"> in active loans to members, building </w:t>
      </w:r>
      <w:r w:rsidR="00B64686">
        <w:t>people’s capacity to manage credit, increase savings, and increase their financial well-being.</w:t>
      </w:r>
    </w:p>
    <w:p w14:paraId="7CB970B0" w14:textId="71251A41" w:rsidR="00261322" w:rsidRDefault="00261322" w:rsidP="00261322">
      <w:pPr>
        <w:pStyle w:val="NoSpacing"/>
      </w:pPr>
    </w:p>
    <w:p w14:paraId="7D1AAFE7" w14:textId="47C429E6" w:rsidR="00261322" w:rsidRDefault="00261322" w:rsidP="00261322">
      <w:pPr>
        <w:rPr>
          <w:b/>
          <w:bCs/>
        </w:rPr>
      </w:pPr>
      <w:r w:rsidRPr="00B06D82">
        <w:rPr>
          <w:highlight w:val="yellow"/>
          <w:shd w:val="clear" w:color="auto" w:fill="00B050"/>
        </w:rPr>
        <w:t>[SENATOR OR REPRESENTATIVE NAME]</w:t>
      </w:r>
      <w:r>
        <w:t xml:space="preserve"> </w:t>
      </w:r>
      <w:r w:rsidR="00637D03" w:rsidRPr="00637D03">
        <w:t xml:space="preserve">support for the CDFI Fund would have a profound impact on the future of </w:t>
      </w:r>
      <w:r w:rsidR="00637D03" w:rsidRPr="00B06D82">
        <w:rPr>
          <w:highlight w:val="yellow"/>
          <w:shd w:val="clear" w:color="auto" w:fill="00B050"/>
        </w:rPr>
        <w:t>[STATE]</w:t>
      </w:r>
      <w:r w:rsidR="00637D03" w:rsidRPr="00637D03">
        <w:t xml:space="preserve"> communities and would align squarely with </w:t>
      </w:r>
      <w:r w:rsidR="55E35B53" w:rsidRPr="00637D03">
        <w:t xml:space="preserve">our </w:t>
      </w:r>
      <w:r w:rsidR="00637D03" w:rsidRPr="00637D03">
        <w:t>shared values of promoting self-sufficiency and economic empowerment. </w:t>
      </w:r>
    </w:p>
    <w:p w14:paraId="4A1FEC59" w14:textId="77777777" w:rsidR="009A1BDF" w:rsidRPr="00637D03" w:rsidRDefault="009A1BDF" w:rsidP="00637D03"/>
    <w:sectPr w:rsidR="009A1BDF" w:rsidRPr="00637D03" w:rsidSect="00AF3AE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6BA4" w14:textId="77777777" w:rsidR="00B601EC" w:rsidRDefault="00B601EC" w:rsidP="00AF3AE3">
      <w:pPr>
        <w:spacing w:after="0" w:line="240" w:lineRule="auto"/>
      </w:pPr>
      <w:r>
        <w:separator/>
      </w:r>
    </w:p>
  </w:endnote>
  <w:endnote w:type="continuationSeparator" w:id="0">
    <w:p w14:paraId="7D8E9CE0" w14:textId="77777777" w:rsidR="00B601EC" w:rsidRDefault="00B601EC" w:rsidP="00AF3AE3">
      <w:pPr>
        <w:spacing w:after="0" w:line="240" w:lineRule="auto"/>
      </w:pPr>
      <w:r>
        <w:continuationSeparator/>
      </w:r>
    </w:p>
  </w:endnote>
  <w:endnote w:type="continuationNotice" w:id="1">
    <w:p w14:paraId="282AF7C2" w14:textId="77777777" w:rsidR="00B601EC" w:rsidRDefault="00B60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EBB7BB" w14:paraId="7E38E857" w14:textId="77777777" w:rsidTr="46EBB7BB">
      <w:trPr>
        <w:trHeight w:val="300"/>
      </w:trPr>
      <w:tc>
        <w:tcPr>
          <w:tcW w:w="3120" w:type="dxa"/>
        </w:tcPr>
        <w:p w14:paraId="134B194D" w14:textId="1636FFF7" w:rsidR="46EBB7BB" w:rsidRDefault="46EBB7BB" w:rsidP="46EBB7BB">
          <w:pPr>
            <w:pStyle w:val="Header"/>
            <w:ind w:left="-115"/>
          </w:pPr>
        </w:p>
      </w:tc>
      <w:tc>
        <w:tcPr>
          <w:tcW w:w="3120" w:type="dxa"/>
        </w:tcPr>
        <w:p w14:paraId="2DD54C5F" w14:textId="7031C492" w:rsidR="46EBB7BB" w:rsidRDefault="46EBB7BB" w:rsidP="46EBB7BB">
          <w:pPr>
            <w:pStyle w:val="Header"/>
            <w:jc w:val="center"/>
          </w:pPr>
        </w:p>
      </w:tc>
      <w:tc>
        <w:tcPr>
          <w:tcW w:w="3120" w:type="dxa"/>
        </w:tcPr>
        <w:p w14:paraId="78862015" w14:textId="72D88C10" w:rsidR="46EBB7BB" w:rsidRDefault="46EBB7BB" w:rsidP="46EBB7BB">
          <w:pPr>
            <w:pStyle w:val="Header"/>
            <w:ind w:right="-115"/>
            <w:jc w:val="right"/>
          </w:pPr>
        </w:p>
      </w:tc>
    </w:tr>
  </w:tbl>
  <w:p w14:paraId="040BB807" w14:textId="7F3CF01D" w:rsidR="00314D7F" w:rsidRDefault="00314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EBB7BB" w14:paraId="7A4251F7" w14:textId="77777777" w:rsidTr="46EBB7BB">
      <w:trPr>
        <w:trHeight w:val="300"/>
      </w:trPr>
      <w:tc>
        <w:tcPr>
          <w:tcW w:w="3120" w:type="dxa"/>
        </w:tcPr>
        <w:p w14:paraId="67C14BC7" w14:textId="579BBE94" w:rsidR="46EBB7BB" w:rsidRDefault="46EBB7BB" w:rsidP="46EBB7BB">
          <w:pPr>
            <w:pStyle w:val="Header"/>
            <w:ind w:left="-115"/>
          </w:pPr>
        </w:p>
      </w:tc>
      <w:tc>
        <w:tcPr>
          <w:tcW w:w="3120" w:type="dxa"/>
        </w:tcPr>
        <w:p w14:paraId="70065907" w14:textId="69ABE27A" w:rsidR="46EBB7BB" w:rsidRDefault="46EBB7BB" w:rsidP="46EBB7BB">
          <w:pPr>
            <w:pStyle w:val="Header"/>
            <w:jc w:val="center"/>
          </w:pPr>
        </w:p>
      </w:tc>
      <w:tc>
        <w:tcPr>
          <w:tcW w:w="3120" w:type="dxa"/>
        </w:tcPr>
        <w:p w14:paraId="6D03F0C4" w14:textId="6213D4D4" w:rsidR="46EBB7BB" w:rsidRDefault="46EBB7BB" w:rsidP="46EBB7BB">
          <w:pPr>
            <w:pStyle w:val="Header"/>
            <w:ind w:right="-115"/>
            <w:jc w:val="right"/>
          </w:pPr>
        </w:p>
      </w:tc>
    </w:tr>
  </w:tbl>
  <w:p w14:paraId="4B7D8458" w14:textId="310750F2" w:rsidR="00314D7F" w:rsidRDefault="00314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99AC" w14:textId="77777777" w:rsidR="00B601EC" w:rsidRDefault="00B601EC" w:rsidP="00AF3AE3">
      <w:pPr>
        <w:spacing w:after="0" w:line="240" w:lineRule="auto"/>
      </w:pPr>
      <w:r>
        <w:separator/>
      </w:r>
    </w:p>
  </w:footnote>
  <w:footnote w:type="continuationSeparator" w:id="0">
    <w:p w14:paraId="5CDEACB1" w14:textId="77777777" w:rsidR="00B601EC" w:rsidRDefault="00B601EC" w:rsidP="00AF3AE3">
      <w:pPr>
        <w:spacing w:after="0" w:line="240" w:lineRule="auto"/>
      </w:pPr>
      <w:r>
        <w:continuationSeparator/>
      </w:r>
    </w:p>
  </w:footnote>
  <w:footnote w:type="continuationNotice" w:id="1">
    <w:p w14:paraId="790E8D98" w14:textId="77777777" w:rsidR="00B601EC" w:rsidRDefault="00B60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FB94" w14:textId="436C066A" w:rsidR="00AF3AE3" w:rsidRDefault="00AF3AE3">
    <w:pPr>
      <w:pStyle w:val="Header"/>
    </w:pPr>
  </w:p>
  <w:p w14:paraId="5CC2E1CC" w14:textId="77777777" w:rsidR="00AF3AE3" w:rsidRDefault="00AF3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84ED" w14:textId="77777777" w:rsidR="00AF3AE3" w:rsidRDefault="00AF3AE3" w:rsidP="00AF3AE3">
    <w:pPr>
      <w:pStyle w:val="Header"/>
      <w:jc w:val="center"/>
    </w:pPr>
    <w:r w:rsidRPr="00AF3AE3">
      <w:drawing>
        <wp:inline distT="0" distB="0" distL="0" distR="0" wp14:anchorId="1B162837" wp14:editId="3E9CBC34">
          <wp:extent cx="1993900" cy="342900"/>
          <wp:effectExtent l="0" t="0" r="6350" b="0"/>
          <wp:docPr id="69227414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E0FB4" w14:textId="2C944FF0" w:rsidR="00AF3AE3" w:rsidRDefault="00AF3AE3" w:rsidP="00AF3AE3">
    <w:pPr>
      <w:pStyle w:val="Header"/>
      <w:jc w:val="center"/>
    </w:pPr>
    <w:r w:rsidRPr="00AF3AE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E81"/>
    <w:multiLevelType w:val="multilevel"/>
    <w:tmpl w:val="ADBC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11CD2"/>
    <w:multiLevelType w:val="multilevel"/>
    <w:tmpl w:val="A91AD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E7056B6"/>
    <w:multiLevelType w:val="multilevel"/>
    <w:tmpl w:val="91CC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4183E"/>
    <w:multiLevelType w:val="multilevel"/>
    <w:tmpl w:val="559EF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4807791"/>
    <w:multiLevelType w:val="multilevel"/>
    <w:tmpl w:val="AC4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13E5B"/>
    <w:multiLevelType w:val="multilevel"/>
    <w:tmpl w:val="B7AA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F950A2"/>
    <w:multiLevelType w:val="multilevel"/>
    <w:tmpl w:val="36C0F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E62EDC"/>
    <w:multiLevelType w:val="multilevel"/>
    <w:tmpl w:val="AF0C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BE7346"/>
    <w:multiLevelType w:val="hybridMultilevel"/>
    <w:tmpl w:val="32B4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D688D"/>
    <w:multiLevelType w:val="hybridMultilevel"/>
    <w:tmpl w:val="69CE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04AAA"/>
    <w:multiLevelType w:val="hybridMultilevel"/>
    <w:tmpl w:val="2AA8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70902">
    <w:abstractNumId w:val="5"/>
  </w:num>
  <w:num w:numId="2" w16cid:durableId="1830780160">
    <w:abstractNumId w:val="4"/>
  </w:num>
  <w:num w:numId="3" w16cid:durableId="555624761">
    <w:abstractNumId w:val="2"/>
  </w:num>
  <w:num w:numId="4" w16cid:durableId="1664699579">
    <w:abstractNumId w:val="7"/>
  </w:num>
  <w:num w:numId="5" w16cid:durableId="1679966362">
    <w:abstractNumId w:val="0"/>
  </w:num>
  <w:num w:numId="6" w16cid:durableId="510097870">
    <w:abstractNumId w:val="1"/>
  </w:num>
  <w:num w:numId="7" w16cid:durableId="115568361">
    <w:abstractNumId w:val="3"/>
  </w:num>
  <w:num w:numId="8" w16cid:durableId="481119778">
    <w:abstractNumId w:val="6"/>
  </w:num>
  <w:num w:numId="9" w16cid:durableId="121467306">
    <w:abstractNumId w:val="10"/>
  </w:num>
  <w:num w:numId="10" w16cid:durableId="1497307466">
    <w:abstractNumId w:val="9"/>
  </w:num>
  <w:num w:numId="11" w16cid:durableId="1495877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03"/>
    <w:rsid w:val="000130BB"/>
    <w:rsid w:val="00026267"/>
    <w:rsid w:val="000433A9"/>
    <w:rsid w:val="00047F19"/>
    <w:rsid w:val="0006239E"/>
    <w:rsid w:val="00064D2D"/>
    <w:rsid w:val="000C2274"/>
    <w:rsid w:val="000C5AF2"/>
    <w:rsid w:val="000E4D54"/>
    <w:rsid w:val="000E509C"/>
    <w:rsid w:val="000E6FAF"/>
    <w:rsid w:val="000F4CEA"/>
    <w:rsid w:val="000F6CF9"/>
    <w:rsid w:val="0016307B"/>
    <w:rsid w:val="00165324"/>
    <w:rsid w:val="001B048A"/>
    <w:rsid w:val="001C2687"/>
    <w:rsid w:val="001D7E2E"/>
    <w:rsid w:val="001E1752"/>
    <w:rsid w:val="00204B9D"/>
    <w:rsid w:val="00255D4B"/>
    <w:rsid w:val="00261322"/>
    <w:rsid w:val="002A6A7C"/>
    <w:rsid w:val="002B4AD9"/>
    <w:rsid w:val="002C25C0"/>
    <w:rsid w:val="0030274A"/>
    <w:rsid w:val="003053E3"/>
    <w:rsid w:val="00314D7F"/>
    <w:rsid w:val="003174B8"/>
    <w:rsid w:val="00333CF4"/>
    <w:rsid w:val="00340354"/>
    <w:rsid w:val="003434B8"/>
    <w:rsid w:val="00484870"/>
    <w:rsid w:val="004875D8"/>
    <w:rsid w:val="004C3C31"/>
    <w:rsid w:val="005006F8"/>
    <w:rsid w:val="005D3B26"/>
    <w:rsid w:val="00617D8B"/>
    <w:rsid w:val="00637D03"/>
    <w:rsid w:val="00680C5A"/>
    <w:rsid w:val="0068556C"/>
    <w:rsid w:val="00687C4B"/>
    <w:rsid w:val="006A3415"/>
    <w:rsid w:val="006A3440"/>
    <w:rsid w:val="006D2A72"/>
    <w:rsid w:val="006F2C69"/>
    <w:rsid w:val="007012E1"/>
    <w:rsid w:val="00715E89"/>
    <w:rsid w:val="00720C13"/>
    <w:rsid w:val="007326BF"/>
    <w:rsid w:val="00746F4D"/>
    <w:rsid w:val="007548D7"/>
    <w:rsid w:val="0076378E"/>
    <w:rsid w:val="007757D2"/>
    <w:rsid w:val="00776E15"/>
    <w:rsid w:val="00780C23"/>
    <w:rsid w:val="0079261C"/>
    <w:rsid w:val="007D6A66"/>
    <w:rsid w:val="00801695"/>
    <w:rsid w:val="008075B5"/>
    <w:rsid w:val="008449D6"/>
    <w:rsid w:val="00847425"/>
    <w:rsid w:val="0085766D"/>
    <w:rsid w:val="00882897"/>
    <w:rsid w:val="008C0D0F"/>
    <w:rsid w:val="008E660E"/>
    <w:rsid w:val="00906ABB"/>
    <w:rsid w:val="009136E8"/>
    <w:rsid w:val="009311EC"/>
    <w:rsid w:val="0093663D"/>
    <w:rsid w:val="0094537F"/>
    <w:rsid w:val="00964AD3"/>
    <w:rsid w:val="00972DCA"/>
    <w:rsid w:val="009738D8"/>
    <w:rsid w:val="00987B2C"/>
    <w:rsid w:val="00995DC3"/>
    <w:rsid w:val="009A1BDF"/>
    <w:rsid w:val="009C1234"/>
    <w:rsid w:val="009D73AE"/>
    <w:rsid w:val="009F5DE0"/>
    <w:rsid w:val="00A158C4"/>
    <w:rsid w:val="00A52A8D"/>
    <w:rsid w:val="00A87878"/>
    <w:rsid w:val="00AA342A"/>
    <w:rsid w:val="00AE7426"/>
    <w:rsid w:val="00AF3AE3"/>
    <w:rsid w:val="00AF5129"/>
    <w:rsid w:val="00B06D82"/>
    <w:rsid w:val="00B601EC"/>
    <w:rsid w:val="00B64686"/>
    <w:rsid w:val="00B85F0C"/>
    <w:rsid w:val="00C26881"/>
    <w:rsid w:val="00C7059E"/>
    <w:rsid w:val="00CB40D4"/>
    <w:rsid w:val="00CC42AC"/>
    <w:rsid w:val="00CC544B"/>
    <w:rsid w:val="00CD2316"/>
    <w:rsid w:val="00CD555D"/>
    <w:rsid w:val="00CE2F50"/>
    <w:rsid w:val="00CF4CB3"/>
    <w:rsid w:val="00D37F61"/>
    <w:rsid w:val="00D675D2"/>
    <w:rsid w:val="00D93F05"/>
    <w:rsid w:val="00DF1758"/>
    <w:rsid w:val="00E07B98"/>
    <w:rsid w:val="00E4512C"/>
    <w:rsid w:val="00E72D5D"/>
    <w:rsid w:val="00E96186"/>
    <w:rsid w:val="00EA2174"/>
    <w:rsid w:val="00EC48D4"/>
    <w:rsid w:val="00EF75DE"/>
    <w:rsid w:val="00F1548B"/>
    <w:rsid w:val="00F32064"/>
    <w:rsid w:val="00F53977"/>
    <w:rsid w:val="00F602AB"/>
    <w:rsid w:val="00F852C0"/>
    <w:rsid w:val="00FC1BBD"/>
    <w:rsid w:val="00FD5235"/>
    <w:rsid w:val="0435743D"/>
    <w:rsid w:val="04D3F381"/>
    <w:rsid w:val="11E9C0E8"/>
    <w:rsid w:val="140D3A2B"/>
    <w:rsid w:val="15375B0C"/>
    <w:rsid w:val="199B8339"/>
    <w:rsid w:val="1EE432BC"/>
    <w:rsid w:val="252B8252"/>
    <w:rsid w:val="26E6F15C"/>
    <w:rsid w:val="27CA31FD"/>
    <w:rsid w:val="3879324B"/>
    <w:rsid w:val="39EF9517"/>
    <w:rsid w:val="408E5394"/>
    <w:rsid w:val="428FFDA7"/>
    <w:rsid w:val="46EBB7BB"/>
    <w:rsid w:val="497B0874"/>
    <w:rsid w:val="55A52551"/>
    <w:rsid w:val="55E35B53"/>
    <w:rsid w:val="6049EE7F"/>
    <w:rsid w:val="63221680"/>
    <w:rsid w:val="6492CEE3"/>
    <w:rsid w:val="65FDD533"/>
    <w:rsid w:val="6F28FADB"/>
    <w:rsid w:val="6FA49736"/>
    <w:rsid w:val="7567E9F8"/>
    <w:rsid w:val="79B33234"/>
    <w:rsid w:val="7FE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E025"/>
  <w15:chartTrackingRefBased/>
  <w15:docId w15:val="{D27D409C-F355-4543-8CD0-4F2E1942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D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7D0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1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40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AE3"/>
  </w:style>
  <w:style w:type="paragraph" w:styleId="Footer">
    <w:name w:val="footer"/>
    <w:basedOn w:val="Normal"/>
    <w:link w:val="FooterChar"/>
    <w:uiPriority w:val="99"/>
    <w:unhideWhenUsed/>
    <w:rsid w:val="00AF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AE3"/>
  </w:style>
  <w:style w:type="table" w:styleId="TableGrid">
    <w:name w:val="Table Grid"/>
    <w:basedOn w:val="TableNormal"/>
    <w:uiPriority w:val="59"/>
    <w:rsid w:val="00314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5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fifund.gov/sites/cdfi/files/2024-05/CDFI_Fund_FY_2023_Annual_Report_FINAL_508c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occ.treas.gov/topics/supervision-and-examination/bank-management/minority-depository-institutions/cdfi-fund-09-01-2023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clusiv.org/2024-inclusiv-state-profi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treasury.gov/system/files/136/ECIP-2023-Report-Final-07.12.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Links>
    <vt:vector size="24" baseType="variant">
      <vt:variant>
        <vt:i4>8323132</vt:i4>
      </vt:variant>
      <vt:variant>
        <vt:i4>9</vt:i4>
      </vt:variant>
      <vt:variant>
        <vt:i4>0</vt:i4>
      </vt:variant>
      <vt:variant>
        <vt:i4>5</vt:i4>
      </vt:variant>
      <vt:variant>
        <vt:lpwstr>https://inclusiv.org/2024-inclusiv-state-profiles/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https://home.treasury.gov/system/files/136/ECIP-2023-Report-Final-07.12.24.pdf</vt:lpwstr>
      </vt:variant>
      <vt:variant>
        <vt:lpwstr/>
      </vt:variant>
      <vt:variant>
        <vt:i4>1376369</vt:i4>
      </vt:variant>
      <vt:variant>
        <vt:i4>3</vt:i4>
      </vt:variant>
      <vt:variant>
        <vt:i4>0</vt:i4>
      </vt:variant>
      <vt:variant>
        <vt:i4>5</vt:i4>
      </vt:variant>
      <vt:variant>
        <vt:lpwstr>https://www.cdfifund.gov/sites/cdfi/files/2024-05/CDFI_Fund_FY_2023_Annual_Report_FINAL_508c.pdf</vt:lpwstr>
      </vt:variant>
      <vt:variant>
        <vt:lpwstr/>
      </vt:variant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https://www.occ.treas.gov/topics/supervision-and-examination/bank-management/minority-depository-institutions/cdfi-fund-09-01-2023.pdf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Iwanisziw</dc:creator>
  <cp:keywords/>
  <dc:description/>
  <cp:lastModifiedBy>Sam Lee</cp:lastModifiedBy>
  <cp:revision>48</cp:revision>
  <cp:lastPrinted>2024-11-22T14:44:00Z</cp:lastPrinted>
  <dcterms:created xsi:type="dcterms:W3CDTF">2024-11-22T19:45:00Z</dcterms:created>
  <dcterms:modified xsi:type="dcterms:W3CDTF">2024-12-05T21:39:00Z</dcterms:modified>
</cp:coreProperties>
</file>